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p w:rsidR="0084005C" w:rsidRPr="00626A3F" w:rsidRDefault="0084005C" w:rsidP="002237E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84005C" w:rsidRPr="00B329D8" w:rsidRDefault="0084005C" w:rsidP="00B329D8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626A3F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62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6A3F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</w:t>
      </w:r>
      <w:r w:rsidRPr="00CC0C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иных ограничений, направленных на предотвращение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ликвидацию очагов африканской чумы свиней», </w:t>
      </w:r>
      <w:r w:rsidRPr="007C1991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Pr="00462DDF">
        <w:rPr>
          <w:rFonts w:ascii="Times New Roman" w:hAnsi="Times New Roman" w:cs="Times New Roman"/>
          <w:sz w:val="28"/>
          <w:szCs w:val="28"/>
        </w:rPr>
        <w:t xml:space="preserve">испытаний ФГБУ </w:t>
      </w:r>
      <w:r w:rsidRPr="00462DDF">
        <w:rPr>
          <w:rFonts w:ascii="Times New Roman" w:hAnsi="Times New Roman" w:cs="Times New Roman"/>
          <w:color w:val="000000"/>
          <w:sz w:val="28"/>
          <w:szCs w:val="28"/>
        </w:rPr>
        <w:t>«Приморская межобластная</w:t>
      </w:r>
      <w:r w:rsidR="00462DDF" w:rsidRPr="00462DDF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ветеринарная лаборатория» от 11.08.2020 № 2385</w:t>
      </w:r>
      <w:r w:rsidRPr="00462DD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62DDF" w:rsidRPr="00462DDF">
        <w:rPr>
          <w:rFonts w:ascii="Times New Roman" w:hAnsi="Times New Roman" w:cs="Times New Roman"/>
          <w:color w:val="000000"/>
          <w:sz w:val="28"/>
          <w:szCs w:val="28"/>
        </w:rPr>
        <w:t>6696ГЗ</w:t>
      </w:r>
      <w:r w:rsidRPr="007C1991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 w:rsidRPr="00626A3F">
        <w:rPr>
          <w:rFonts w:ascii="Times New Roman" w:hAnsi="Times New Roman" w:cs="Times New Roman"/>
          <w:sz w:val="28"/>
          <w:szCs w:val="28"/>
        </w:rPr>
        <w:t xml:space="preserve"> начальника управления ветеринарии при правительстве Еврейской автономной области – главн</w:t>
      </w:r>
      <w:r w:rsidRPr="00B329D8">
        <w:rPr>
          <w:rFonts w:ascii="Times New Roman" w:hAnsi="Times New Roman" w:cs="Times New Roman"/>
          <w:sz w:val="28"/>
          <w:szCs w:val="28"/>
        </w:rPr>
        <w:t xml:space="preserve">ого государственного ветеринарного инспектора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4D0C" w:rsidRPr="006B4D0C">
        <w:rPr>
          <w:rFonts w:ascii="Times New Roman" w:hAnsi="Times New Roman" w:cs="Times New Roman"/>
          <w:sz w:val="28"/>
          <w:szCs w:val="28"/>
        </w:rPr>
        <w:t>11.08.2020 № 01-08/822</w:t>
      </w:r>
      <w:r w:rsidRPr="006B4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4D0C">
        <w:rPr>
          <w:rFonts w:ascii="Times New Roman" w:hAnsi="Times New Roman" w:cs="Times New Roman"/>
          <w:sz w:val="28"/>
          <w:szCs w:val="28"/>
        </w:rPr>
        <w:t>об</w:t>
      </w:r>
      <w:r w:rsidRPr="00B329D8">
        <w:rPr>
          <w:rFonts w:ascii="Times New Roman" w:hAnsi="Times New Roman" w:cs="Times New Roman"/>
          <w:sz w:val="28"/>
          <w:szCs w:val="28"/>
        </w:rPr>
        <w:t xml:space="preserve"> установлении ограничительных мероприятий (карантина) по заболеванию африканской чумой свиней, в целях организации и проведения мероприятий, направленных на недопущение распространения особо опасного заразного заболевания –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африканской чумы</w:t>
      </w:r>
      <w:r w:rsidRPr="00B329D8">
        <w:rPr>
          <w:rFonts w:ascii="Times New Roman" w:hAnsi="Times New Roman" w:cs="Times New Roman"/>
          <w:sz w:val="28"/>
          <w:szCs w:val="28"/>
        </w:rPr>
        <w:t xml:space="preserve"> свиней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29D8">
        <w:rPr>
          <w:rFonts w:ascii="Times New Roman" w:hAnsi="Times New Roman" w:cs="Times New Roman"/>
          <w:sz w:val="28"/>
          <w:szCs w:val="28"/>
        </w:rPr>
        <w:t xml:space="preserve">на территории личного </w:t>
      </w:r>
      <w:r>
        <w:rPr>
          <w:rFonts w:ascii="Times New Roman" w:hAnsi="Times New Roman" w:cs="Times New Roman"/>
          <w:sz w:val="28"/>
          <w:szCs w:val="28"/>
        </w:rPr>
        <w:t>подворья</w:t>
      </w:r>
      <w:r w:rsidR="005D2BFE">
        <w:rPr>
          <w:rFonts w:ascii="Times New Roman" w:hAnsi="Times New Roman" w:cs="Times New Roman"/>
          <w:sz w:val="28"/>
          <w:szCs w:val="28"/>
        </w:rPr>
        <w:t xml:space="preserve"> Ко</w:t>
      </w:r>
      <w:r w:rsidR="008D5204">
        <w:rPr>
          <w:rFonts w:ascii="Times New Roman" w:hAnsi="Times New Roman" w:cs="Times New Roman"/>
          <w:sz w:val="28"/>
          <w:szCs w:val="28"/>
        </w:rPr>
        <w:t>чмара</w:t>
      </w:r>
      <w:r w:rsidR="005D2BFE">
        <w:rPr>
          <w:rFonts w:ascii="Times New Roman" w:hAnsi="Times New Roman" w:cs="Times New Roman"/>
          <w:sz w:val="28"/>
          <w:szCs w:val="28"/>
        </w:rPr>
        <w:t xml:space="preserve"> Евгения Петровича</w:t>
      </w:r>
      <w:r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Pr="00B329D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2D02">
        <w:rPr>
          <w:rFonts w:ascii="Times New Roman" w:hAnsi="Times New Roman" w:cs="Times New Roman"/>
          <w:sz w:val="28"/>
          <w:szCs w:val="28"/>
        </w:rPr>
        <w:t xml:space="preserve"> </w:t>
      </w:r>
      <w:r w:rsidR="005D2BFE">
        <w:rPr>
          <w:rFonts w:ascii="Times New Roman" w:hAnsi="Times New Roman" w:cs="Times New Roman"/>
          <w:sz w:val="28"/>
          <w:szCs w:val="28"/>
        </w:rPr>
        <w:t>Дубовое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D8">
        <w:rPr>
          <w:rFonts w:ascii="Times New Roman" w:hAnsi="Times New Roman" w:cs="Times New Roman"/>
          <w:sz w:val="28"/>
          <w:szCs w:val="28"/>
        </w:rPr>
        <w:t>ул.</w:t>
      </w:r>
      <w:r w:rsidR="005D2BFE">
        <w:rPr>
          <w:rFonts w:ascii="Times New Roman" w:hAnsi="Times New Roman" w:cs="Times New Roman"/>
          <w:sz w:val="28"/>
          <w:szCs w:val="28"/>
        </w:rPr>
        <w:t xml:space="preserve"> Школьная, д. 10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005C" w:rsidRPr="00626A3F" w:rsidRDefault="0084005C" w:rsidP="0022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 Установить ограничительные мероприятия (карантин)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26A3F">
        <w:rPr>
          <w:rFonts w:ascii="Times New Roman" w:hAnsi="Times New Roman" w:cs="Times New Roman"/>
          <w:sz w:val="28"/>
          <w:szCs w:val="28"/>
        </w:rPr>
        <w:t>по африканской чуме свиней применительно к следующим территориям Еврейской автономной области:</w:t>
      </w:r>
    </w:p>
    <w:p w:rsidR="0084005C" w:rsidRPr="00B329D8" w:rsidRDefault="0084005C" w:rsidP="005D2BFE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1.1. Признать эпизоотическим очагом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</w:t>
      </w:r>
      <w:r w:rsidRPr="00785DAA">
        <w:rPr>
          <w:rFonts w:ascii="Times New Roman" w:hAnsi="Times New Roman" w:cs="Times New Roman"/>
          <w:sz w:val="28"/>
          <w:szCs w:val="28"/>
        </w:rPr>
        <w:t>территорию личного</w:t>
      </w:r>
      <w:r>
        <w:rPr>
          <w:rFonts w:ascii="Times New Roman" w:hAnsi="Times New Roman" w:cs="Times New Roman"/>
          <w:sz w:val="28"/>
          <w:szCs w:val="28"/>
        </w:rPr>
        <w:t xml:space="preserve"> подворья </w:t>
      </w:r>
      <w:r w:rsidR="008D5204">
        <w:rPr>
          <w:rFonts w:ascii="Times New Roman" w:hAnsi="Times New Roman" w:cs="Times New Roman"/>
          <w:sz w:val="28"/>
          <w:szCs w:val="28"/>
        </w:rPr>
        <w:t>Кочмара</w:t>
      </w:r>
      <w:r w:rsidR="005D2BFE">
        <w:rPr>
          <w:rFonts w:ascii="Times New Roman" w:hAnsi="Times New Roman" w:cs="Times New Roman"/>
          <w:sz w:val="28"/>
          <w:szCs w:val="28"/>
        </w:rPr>
        <w:t xml:space="preserve"> Евгения Петровича</w:t>
      </w:r>
      <w:r w:rsidR="005D2BFE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5D2BFE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5D2BFE" w:rsidRPr="00B329D8">
        <w:rPr>
          <w:rFonts w:ascii="Times New Roman" w:hAnsi="Times New Roman" w:cs="Times New Roman"/>
          <w:sz w:val="28"/>
          <w:szCs w:val="28"/>
        </w:rPr>
        <w:t xml:space="preserve">, </w:t>
      </w:r>
      <w:r w:rsidR="008310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2BFE" w:rsidRPr="00B329D8">
        <w:rPr>
          <w:rFonts w:ascii="Times New Roman" w:hAnsi="Times New Roman" w:cs="Times New Roman"/>
          <w:sz w:val="28"/>
          <w:szCs w:val="28"/>
        </w:rPr>
        <w:t>с</w:t>
      </w:r>
      <w:r w:rsidR="005D2BFE">
        <w:rPr>
          <w:rFonts w:ascii="Times New Roman" w:hAnsi="Times New Roman" w:cs="Times New Roman"/>
          <w:sz w:val="28"/>
          <w:szCs w:val="28"/>
        </w:rPr>
        <w:t>.</w:t>
      </w:r>
      <w:r w:rsidR="008310FA">
        <w:rPr>
          <w:rFonts w:ascii="Times New Roman" w:hAnsi="Times New Roman" w:cs="Times New Roman"/>
          <w:sz w:val="28"/>
          <w:szCs w:val="28"/>
        </w:rPr>
        <w:t xml:space="preserve"> </w:t>
      </w:r>
      <w:r w:rsidR="005D2BFE">
        <w:rPr>
          <w:rFonts w:ascii="Times New Roman" w:hAnsi="Times New Roman" w:cs="Times New Roman"/>
          <w:sz w:val="28"/>
          <w:szCs w:val="28"/>
        </w:rPr>
        <w:t xml:space="preserve">Дубовое, </w:t>
      </w:r>
      <w:r w:rsidR="005D2BFE" w:rsidRPr="00B329D8">
        <w:rPr>
          <w:rFonts w:ascii="Times New Roman" w:hAnsi="Times New Roman" w:cs="Times New Roman"/>
          <w:sz w:val="28"/>
          <w:szCs w:val="28"/>
        </w:rPr>
        <w:t>ул.</w:t>
      </w:r>
      <w:r w:rsidR="005D2BFE">
        <w:rPr>
          <w:rFonts w:ascii="Times New Roman" w:hAnsi="Times New Roman" w:cs="Times New Roman"/>
          <w:sz w:val="28"/>
          <w:szCs w:val="28"/>
        </w:rPr>
        <w:t xml:space="preserve"> Школьная, д. 10</w:t>
      </w:r>
      <w:r w:rsidR="008310FA">
        <w:rPr>
          <w:rFonts w:ascii="Times New Roman" w:hAnsi="Times New Roman" w:cs="Times New Roman"/>
          <w:sz w:val="28"/>
          <w:szCs w:val="28"/>
        </w:rPr>
        <w:t>.</w:t>
      </w:r>
    </w:p>
    <w:p w:rsidR="0084005C" w:rsidRDefault="0084005C" w:rsidP="00502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инфицированным объектом африканской чумы свиней</w:t>
      </w:r>
      <w:r>
        <w:rPr>
          <w:rFonts w:ascii="Times New Roman" w:hAnsi="Times New Roman" w:cs="Times New Roman"/>
          <w:sz w:val="28"/>
          <w:szCs w:val="28"/>
        </w:rPr>
        <w:t xml:space="preserve"> животноводческое помещение </w:t>
      </w:r>
      <w:r w:rsidRPr="00785DAA">
        <w:rPr>
          <w:rFonts w:ascii="Times New Roman" w:hAnsi="Times New Roman" w:cs="Times New Roman"/>
          <w:sz w:val="28"/>
          <w:szCs w:val="28"/>
        </w:rPr>
        <w:t xml:space="preserve">личного </w:t>
      </w:r>
      <w:r>
        <w:rPr>
          <w:rFonts w:ascii="Times New Roman" w:hAnsi="Times New Roman" w:cs="Times New Roman"/>
          <w:sz w:val="28"/>
          <w:szCs w:val="28"/>
        </w:rPr>
        <w:t xml:space="preserve">подворья </w:t>
      </w:r>
      <w:r w:rsidR="008D5204">
        <w:rPr>
          <w:rFonts w:ascii="Times New Roman" w:hAnsi="Times New Roman" w:cs="Times New Roman"/>
          <w:sz w:val="28"/>
          <w:szCs w:val="28"/>
        </w:rPr>
        <w:t>Кочмара</w:t>
      </w:r>
      <w:r w:rsidR="005D2BFE">
        <w:rPr>
          <w:rFonts w:ascii="Times New Roman" w:hAnsi="Times New Roman" w:cs="Times New Roman"/>
          <w:sz w:val="28"/>
          <w:szCs w:val="28"/>
        </w:rPr>
        <w:t xml:space="preserve"> Евгения Петровича.</w:t>
      </w:r>
    </w:p>
    <w:p w:rsidR="0084005C" w:rsidRDefault="0084005C" w:rsidP="00E40664">
      <w:pPr>
        <w:ind w:firstLine="709"/>
        <w:jc w:val="both"/>
        <w:rPr>
          <w:rStyle w:val="212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>риканской чуме свиней территорию</w:t>
      </w:r>
      <w:r w:rsidRPr="00626A3F">
        <w:rPr>
          <w:rFonts w:ascii="Times New Roman" w:hAnsi="Times New Roman" w:cs="Times New Roman"/>
          <w:sz w:val="28"/>
          <w:szCs w:val="28"/>
        </w:rPr>
        <w:t xml:space="preserve"> в радиусе </w:t>
      </w:r>
      <w:smartTag w:uri="urn:schemas-microsoft-com:office:smarttags" w:element="metricconverter">
        <w:smartTagPr>
          <w:attr w:name="ProductID" w:val="5 километров"/>
        </w:smartTagPr>
        <w:r w:rsidRPr="00BC1494">
          <w:rPr>
            <w:rFonts w:ascii="Times New Roman" w:hAnsi="Times New Roman" w:cs="Times New Roman"/>
            <w:sz w:val="28"/>
            <w:szCs w:val="28"/>
          </w:rPr>
          <w:t>5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 xml:space="preserve">а, включая территорию сел </w:t>
      </w:r>
      <w:r w:rsidR="00FA0250">
        <w:rPr>
          <w:rFonts w:ascii="Times New Roman" w:hAnsi="Times New Roman" w:cs="Times New Roman"/>
          <w:sz w:val="28"/>
          <w:szCs w:val="28"/>
        </w:rPr>
        <w:t xml:space="preserve">Дубовое Дубовского сельского поселения Биробиджанского муниципального района Еврейской автономной области и </w:t>
      </w:r>
      <w:r w:rsidR="008310FA">
        <w:rPr>
          <w:rFonts w:ascii="Times New Roman" w:hAnsi="Times New Roman" w:cs="Times New Roman"/>
          <w:sz w:val="28"/>
          <w:szCs w:val="28"/>
        </w:rPr>
        <w:t>Петровка Найфельдского сельского поселения</w:t>
      </w:r>
      <w:r w:rsidR="008310FA" w:rsidRPr="008310FA">
        <w:rPr>
          <w:rFonts w:ascii="Times New Roman" w:hAnsi="Times New Roman" w:cs="Times New Roman"/>
          <w:sz w:val="28"/>
          <w:szCs w:val="28"/>
        </w:rPr>
        <w:t xml:space="preserve"> </w:t>
      </w:r>
      <w:r w:rsidR="008310FA">
        <w:rPr>
          <w:rFonts w:ascii="Times New Roman" w:hAnsi="Times New Roman" w:cs="Times New Roman"/>
          <w:sz w:val="28"/>
          <w:szCs w:val="28"/>
        </w:rPr>
        <w:t>Биробиджанского муниципального района Еврейской автономной области.</w:t>
      </w:r>
    </w:p>
    <w:p w:rsidR="0084005C" w:rsidRDefault="0084005C" w:rsidP="00E40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территорию в радиусе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километров"/>
        </w:smartTagPr>
        <w:r w:rsidRPr="00BC1494"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4005C" w:rsidRPr="00626A3F" w:rsidRDefault="0084005C" w:rsidP="002237E2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</w:t>
      </w:r>
      <w:r w:rsidRPr="00421E01">
        <w:rPr>
          <w:rStyle w:val="2"/>
          <w:color w:val="000000"/>
          <w:sz w:val="28"/>
          <w:szCs w:val="28"/>
        </w:rPr>
        <w:t>эпизоотического очага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84005C" w:rsidRPr="00626A3F" w:rsidRDefault="0084005C" w:rsidP="002237E2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3. Ограничительные мероприятия (карантин), установленные настоящим постановлением, действуют до принятия решения об их отмене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6A3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84005C" w:rsidRPr="00626A3F" w:rsidRDefault="0084005C" w:rsidP="00223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F21744" w:rsidRDefault="0084005C" w:rsidP="00F21744">
      <w:pPr>
        <w:rPr>
          <w:rFonts w:ascii="Times New Roman" w:hAnsi="Times New Roman" w:cs="Times New Roman"/>
          <w:sz w:val="28"/>
          <w:szCs w:val="28"/>
        </w:rPr>
      </w:pPr>
      <w:r w:rsidRPr="00F21744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4005C" w:rsidRPr="00F21744" w:rsidRDefault="0084005C" w:rsidP="00F21744">
      <w:pPr>
        <w:rPr>
          <w:rFonts w:ascii="Times New Roman" w:hAnsi="Times New Roman" w:cs="Times New Roman"/>
          <w:sz w:val="28"/>
          <w:szCs w:val="28"/>
        </w:rPr>
      </w:pPr>
      <w:r w:rsidRPr="00F21744"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1744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jc w:val="right"/>
        <w:rPr>
          <w:rFonts w:ascii="Times New Roman" w:hAnsi="Times New Roman" w:cs="Times New Roman"/>
          <w:sz w:val="28"/>
          <w:szCs w:val="28"/>
        </w:rPr>
        <w:sectPr w:rsidR="0084005C" w:rsidRPr="00626A3F" w:rsidSect="00236522">
          <w:head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510815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эпизоотическом очаге и на инфицированном объекте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администрация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 </w:t>
            </w: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84005C" w:rsidRPr="009C2FCF" w:rsidRDefault="0084005C" w:rsidP="008310FA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дезбарьеров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дезбарьерами, средствами связи. На дорогах установить соответствующие технические средства организации дорожного движения и указатели: «Карантин»,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«Опасность», «Въезд запрещен», «Контроль», «Остановка запрещена», «Стоянка запрещена», «Схема 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</w:t>
            </w:r>
          </w:p>
          <w:p w:rsidR="0084005C" w:rsidRPr="009C2FCF" w:rsidRDefault="0084005C" w:rsidP="008310F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управление автомобильных дорог правительства Еврейской автономной области, управление МВД России по Еврейской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автономной области (по согласованию), администрация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     (по согласованию),</w:t>
            </w:r>
            <w:r w:rsidR="008310FA" w:rsidRPr="009C2FCF">
              <w:rPr>
                <w:rStyle w:val="212pt"/>
                <w:sz w:val="22"/>
                <w:szCs w:val="22"/>
              </w:rPr>
              <w:t xml:space="preserve"> администрация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8310FA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  </w:t>
            </w:r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r w:rsidR="008310FA">
              <w:rPr>
                <w:rStyle w:val="212pt"/>
                <w:sz w:val="22"/>
                <w:szCs w:val="22"/>
              </w:rPr>
              <w:t xml:space="preserve">   </w:t>
            </w:r>
            <w:r w:rsidRPr="009C2FCF">
              <w:rPr>
                <w:spacing w:val="-10"/>
                <w:sz w:val="22"/>
                <w:szCs w:val="22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Дезобработку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дезобработки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Предоставить специалистам госветслужбы сведения         о численности свиней, с указанием числа             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8310F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администрация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муниципального района Еврейской автономной области   (по согласованию), 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Провести 3-х кратную дезинфекцию помещений, загонов и других мест, где содержатся животные,             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4%-ный горячий едкий натр, 3%-ная хлорная известь, 3%-ный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r w:rsidRPr="009C2FCF">
              <w:rPr>
                <w:sz w:val="22"/>
                <w:szCs w:val="22"/>
                <w:shd w:val="clear" w:color="auto" w:fill="FFFFFF"/>
              </w:rPr>
              <w:t>ный глутаровый альдегид, 5%-ный однохлористый йод, 2%-ные формалин (параформальдегид), хлорамин и другие разрешенные препараты с высокой вирулицидной активностью в отношении вируса АЧС,                     в частности, биоциды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84005C" w:rsidRPr="009C2FCF" w:rsidRDefault="0084005C" w:rsidP="008310F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="008310FA">
              <w:rPr>
                <w:rStyle w:val="212pt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</w:t>
            </w:r>
            <w:r w:rsidRPr="009C2F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(по согласованию)</w:t>
            </w: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1,5%-ный формальдегид, 3%-ныйфоспар или парасод, 1,5%-ный параформ, приготовленный на 0,5%-ном растворе едкого натра,   5%-ный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8310FA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Верхнюю одежду, белье, головные уборы, спецодежду и 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полного завершения работ по ликвидации АЧС использованную спецодежду и обувь, а также средства 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 завершении 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(</w:t>
            </w:r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Областное ветеринарно-диагностическое бюджетное 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8310F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310FA">
              <w:rPr>
                <w:rStyle w:val="212pt"/>
                <w:sz w:val="22"/>
                <w:szCs w:val="22"/>
              </w:rPr>
              <w:t>а</w:t>
            </w:r>
            <w:r w:rsidR="008310FA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8310FA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</w:t>
            </w:r>
            <w:r w:rsidRPr="009C2FCF">
              <w:rPr>
                <w:rStyle w:val="212pt"/>
                <w:sz w:val="22"/>
                <w:szCs w:val="22"/>
              </w:rPr>
              <w:t>(по согласованию), 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310FA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</w:t>
            </w:r>
            <w:r w:rsidR="0084005C" w:rsidRPr="009C2FCF">
              <w:rPr>
                <w:rStyle w:val="212pt"/>
                <w:sz w:val="22"/>
                <w:szCs w:val="22"/>
              </w:rPr>
              <w:lastRenderedPageBreak/>
              <w:t xml:space="preserve">управление Россельхознадзора   по Хабаровскому краю и Еврейской автономной области 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310FA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462DDF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 по Хабаровскому </w:t>
            </w:r>
            <w:r w:rsidR="0084005C" w:rsidRPr="009C2FCF">
              <w:rPr>
                <w:rStyle w:val="212pt"/>
                <w:sz w:val="22"/>
                <w:szCs w:val="22"/>
              </w:rPr>
              <w:lastRenderedPageBreak/>
              <w:t>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Дубовского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   (по согласованию),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населения, за исключением мероприятий по закупке свиней у населения в рамках мероприятий по ликвидации очага АЧС под контролем специалистов госветслужбы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84005C" w:rsidRPr="009C2FCF" w:rsidRDefault="00462DDF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Дубовского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   (по согласованию),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462DDF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462DDF" w:rsidP="00462DD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lastRenderedPageBreak/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  <w:lang w:eastAsia="en-US"/>
              </w:rPr>
              <w:t>Почта России           (по согласованию), логистические компании                   (по согласованию), управление информатизации         и телекоммуникаций правительства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принятия решения территориального органа Федеральной службы по ветеринарному и фитосанитарному надзору</w:t>
            </w:r>
          </w:p>
        </w:tc>
        <w:tc>
          <w:tcPr>
            <w:tcW w:w="1950" w:type="dxa"/>
          </w:tcPr>
          <w:p w:rsidR="0084005C" w:rsidRPr="009C2FCF" w:rsidRDefault="0084005C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администрация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Дубовского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353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дезбарьерами,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 управление автомобильных дорог и транспорта правительства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84005C" w:rsidRPr="009C2FCF" w:rsidRDefault="00462DDF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lastRenderedPageBreak/>
              <w:t xml:space="preserve">Дубовского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</w:t>
            </w:r>
            <w:r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Перевозка свиней автомобильным транспортом осуществляется в сопровождении лица, ответственного за сдачу свиней, и специалиста госветслужбы.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462DD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Дубовского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462DDF">
              <w:rPr>
                <w:rStyle w:val="212pt"/>
                <w:sz w:val="22"/>
                <w:szCs w:val="22"/>
              </w:rPr>
              <w:t>г</w:t>
            </w:r>
            <w:r w:rsidRPr="009C2FCF">
              <w:rPr>
                <w:rStyle w:val="212pt"/>
                <w:sz w:val="22"/>
                <w:szCs w:val="22"/>
              </w:rPr>
              <w:t>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муниципальных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 руководители хозяйств и 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Пересылку, включая почтовые отправления, свиноводческой продукции непромышленного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Администрации муниципальных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образований Еврейской автономной области  (по согласованию), Почта России           (по согласованию), логистические компании                   (по согласованию), комитет информационных технологий и связи Еврейской автономной области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государственная 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 и Еврейской автономной области 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15" w:rsidRDefault="00510815">
      <w:r>
        <w:separator/>
      </w:r>
    </w:p>
  </w:endnote>
  <w:endnote w:type="continuationSeparator" w:id="0">
    <w:p w:rsidR="00510815" w:rsidRDefault="0051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15" w:rsidRDefault="00510815">
      <w:r>
        <w:separator/>
      </w:r>
    </w:p>
  </w:footnote>
  <w:footnote w:type="continuationSeparator" w:id="0">
    <w:p w:rsidR="00510815" w:rsidRDefault="0051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E1188F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E1188F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5671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4C1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DD6"/>
    <w:rsid w:val="002360F5"/>
    <w:rsid w:val="00236522"/>
    <w:rsid w:val="002366DD"/>
    <w:rsid w:val="00237DD4"/>
    <w:rsid w:val="00237F03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2D02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815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4D0C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04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171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188F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subject/>
  <dc:creator>Соловченкова Наталья Николаевна</dc:creator>
  <cp:keywords/>
  <dc:description/>
  <cp:lastModifiedBy>Соловченкова Наталья Николаевна</cp:lastModifiedBy>
  <cp:revision>14</cp:revision>
  <cp:lastPrinted>2020-08-10T06:23:00Z</cp:lastPrinted>
  <dcterms:created xsi:type="dcterms:W3CDTF">2020-08-10T05:32:00Z</dcterms:created>
  <dcterms:modified xsi:type="dcterms:W3CDTF">2020-08-12T00:45:00Z</dcterms:modified>
</cp:coreProperties>
</file>